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Aprobat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Inspector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Școlar General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Vlad Florentin Drinceanu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REGULAMENT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CONCURSUL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VIANU GAME JAM”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PREZENTARE GENERALA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6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Art. 1 Argument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Jocul face parte din activit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ățile recreative ale copiilor și adolescenților. Concursul Vianu Game Jam este despre crearea de jocuri care să poată fi integrate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procesul educa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țional utiliz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ând elemente ale jocului cum ar fi mecanica unui joc, fair-play, recompensa.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Concursul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Vianu Game Jam”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se afl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la a doua ediție, este organizat de către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Colegiul Național de Informatică Tudor Vianu din București,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în parteneriat cu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RDG - Romanian Game Developers Association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În comisia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științifică a acestui concurs sunt profesori de informatică recunoscuți pentru rezultatele obținute cu eleviii la concursurile și olimpiadele naționale și internaționale.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Concursul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Vianu Game Jam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 propune un nou tip de educatie in Romania, learning by doing prin realizarea de jocuri educa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ționale.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Concursul se adreseaza elevilor pasionati de informatica care doresc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ă-și folosească sau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ă-și dezvolte aptitudinile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activit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ăți extrașcolare.</w:t>
      </w:r>
    </w:p>
    <w:p>
      <w:pPr>
        <w:tabs>
          <w:tab w:val="left" w:pos="6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6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Art. 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Scopul concursului este realizarea de jocuri pe o tema dat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într-un timp limitat la 3 zile, cu respectarea regulamentului jocului. </w:t>
      </w:r>
    </w:p>
    <w:p>
      <w:pPr>
        <w:tabs>
          <w:tab w:val="left" w:pos="6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6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Art. 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Grupul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țintă sunt eleviii de gimnaziu și de liceu pasionați de realizarea de jocuri pe calculator. Concursul se adresează elevilor de gimnaziu și de liceu interesați de crearea de jcouri online.</w:t>
      </w:r>
    </w:p>
    <w:p>
      <w:pPr>
        <w:tabs>
          <w:tab w:val="left" w:pos="6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6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Art. 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Obiectivele specifice ale concursului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Vianu Game Jam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sunt:</w:t>
      </w:r>
    </w:p>
    <w:p>
      <w:pPr>
        <w:numPr>
          <w:ilvl w:val="0"/>
          <w:numId w:val="10"/>
        </w:numPr>
        <w:tabs>
          <w:tab w:val="left" w:pos="605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realizarea de jocuri educa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ționale pe o temă dată, care pot fi integrate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activit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ățile didactice;</w:t>
      </w:r>
    </w:p>
    <w:p>
      <w:pPr>
        <w:numPr>
          <w:ilvl w:val="0"/>
          <w:numId w:val="10"/>
        </w:numPr>
        <w:tabs>
          <w:tab w:val="left" w:pos="605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atragerea atentiei elevilor asupra importantei domeniului IT prezentand tehnologia computerelor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și dezvoltarea de aplicații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într-un mod aplicativ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și creativ, ce se deosebeste de predarea traditională;</w:t>
      </w:r>
    </w:p>
    <w:p>
      <w:pPr>
        <w:numPr>
          <w:ilvl w:val="0"/>
          <w:numId w:val="10"/>
        </w:numPr>
        <w:tabs>
          <w:tab w:val="left" w:pos="605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atragerea aten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ției elevilor asupra importanței domeniului IT, prezent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ând programarea computerelor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și dezvoltarea de aplicații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într-un mod aplicativ.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Art. 5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DREPTUL DE PARTICIPARE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Concursul este deschis tuturor persoanelor fizice care, pân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la  limita de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înscriere în concurs, respectiv 6 mai 2024 sunt elevi la o unitate de înv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ățam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ânt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și care au domiciliul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România.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CONDITII DE PARTICIPARE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Înscrierea la acest concurs este posibila numai online, cu ajutorul Internetului, prin completarea unui formular de înscriere care va fi localizat pe site-ul Colegiului 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țional de Informatică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Tudor Vianu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Participantii la concurs vor fi informati despre regulamentul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și desfășurarea concursului pe pagina oficiala a concursului </w:t>
      </w:r>
      <w:hyperlink xmlns:r="http://schemas.openxmlformats.org/officeDocument/2006/relationships" r:id="docRId0">
        <w:r>
          <w:rPr>
            <w:rFonts w:ascii="Helvetica" w:hAnsi="Helvetica" w:cs="Helvetica" w:eastAsia="Helvetica"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http://vianugamejam.lbi.ro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creat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pe site-ul Colegiului Național de Informatică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Tudor Vianu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Pentru a participa la acest concurs, este obligatoriu ca participan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ții să se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înscrie în echipe de cate 2-5 membri - un mentor (profesor)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și 1-4 elevi care pot face dovada apartenenței la o unitate de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ățăm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ânt liceal sau gimnazial din Romania.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Regula înscrierii este urmatoarea: un elev poate participa la concurs doar într-o singur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echipă la o singură secțiune,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timp ce mentorul se poate înscrie ca mentor al mai multor echipe. Se pot înscrie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și echipe compuse din cu elevi de la instituții de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ățăm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ânt diferite, condi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ția fiind ca elevii să nu mai facă parte și din alte echipe.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Art. 6. DEF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ĂȘURAREA CONCURSULUI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Înscrierea în concurs se face doar prin intermediul formularului care va fi disponibil pe pagina oficial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a Colegiului Național de Informatică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Tudor Vianu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și pe pagina concursului </w:t>
      </w:r>
      <w:hyperlink xmlns:r="http://schemas.openxmlformats.org/officeDocument/2006/relationships" r:id="docRId1">
        <w:r>
          <w:rPr>
            <w:rFonts w:ascii="Helvetica" w:hAnsi="Helvetica" w:cs="Helvetica" w:eastAsia="Helvetica"/>
            <w:color w:val="338FE9"/>
            <w:spacing w:val="0"/>
            <w:position w:val="0"/>
            <w:sz w:val="20"/>
            <w:u w:val="single"/>
            <w:shd w:fill="FFFFFF" w:val="clear"/>
          </w:rPr>
          <w:t xml:space="preserve">http://vianugamejam.lbi.ro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care trebuie completat cu datele echipei: nume profesor, nume elev 1, nume elev 2, adrese e-mail, numar de telefon si titlul proiectului.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Data limita pentru înscriere în concurs este 6 mai 2024, ora 23:59.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CD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D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DESFASURAREA CONCURSULUI - Pa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și de urmat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Inscrierile au loc in perioada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15 aprilie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6 mai 2024.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Concursul se va desfasura în perioada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9-16  Mai 2024.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Premierea va avea loc pe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21 mai 2024.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PASUL 1 - Inscriere: data limita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6 mai 2024, ora 23:59.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Înscrierea în concurs se face doar prin intermediul formularului care va fi disponibil pe pagina oficial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a Colegiului Național de Informatică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Tudor Vianu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pe care trebuie completat cu datele echipei: nume profesor, nume elev 1, nume elev 2, adrese e-mail, numar de telefon si titlul proiectului. 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Urm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ătoarele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informații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trebuie completate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în mod obligatoriu la înscrierea în concurs:</w:t>
      </w:r>
    </w:p>
    <w:p>
      <w:pPr>
        <w:numPr>
          <w:ilvl w:val="0"/>
          <w:numId w:val="14"/>
        </w:numPr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datele personale ale membrilor echipei - mentor si 1-4 elevi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Titlu proiect, nume, prenume, numar de telefon la care poate fi contactat, adresa de e-mail activ, unitate de invatamant, localitate, judet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Participantii vor primi confirmarea de participare la concurs în func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ție de ordinea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înscrierii în concurs, în baza de date a Organizatorului, constând în mesajul de la sfâr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șitul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înscrierii în concurs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și copia răspunsurilor primită pe e-mail. Din momentul primirii acestei confirmări, participantul este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înscris în concurs.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PASUL 2 Anun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țarea temei și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începerea concursului: 9 Mai 2024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PASUL 3 : Sus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ținerea probei de concurs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9-16 Mai 2024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Prin participarea la concurs, se dore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ște evidențierea pozitivă a utilizării jocurilor online prin realizarea de proiecte cu rol educațional și utilitar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Toate echipele participante înscrise în concurs, vor participa în format fizic sau online la concurs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și la jurizare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perioada 9-21 Mai 2024.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Pasul 4: Anun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țarea echipelor 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â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știgătoare 21 Mai - vor fi anuntate cele 3 echipe castigatoare - 3 premii, 1 premiu I, 1 premiu II, 1 premiu III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Echipele desemnate castigatoare în urma jurizarii vor fi anun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țate și afișate pe pagina concursului </w:t>
      </w:r>
      <w:hyperlink xmlns:r="http://schemas.openxmlformats.org/officeDocument/2006/relationships" r:id="docRId2">
        <w:r>
          <w:rPr>
            <w:rFonts w:ascii="Helvetica" w:hAnsi="Helvetica" w:cs="Helvetica" w:eastAsia="Helvetica"/>
            <w:color w:val="338FE9"/>
            <w:spacing w:val="0"/>
            <w:position w:val="0"/>
            <w:sz w:val="20"/>
            <w:u w:val="single"/>
            <w:shd w:fill="FFFFFF" w:val="clear"/>
          </w:rPr>
          <w:t xml:space="preserve">http://vianugamejam.lbi.ro</w:t>
        </w:r>
      </w:hyperlink>
      <w:r>
        <w:rPr>
          <w:rFonts w:ascii="Helvetica" w:hAnsi="Helvetica" w:cs="Helvetica" w:eastAsia="Helvetica"/>
          <w:color w:val="338FE9"/>
          <w:spacing w:val="0"/>
          <w:position w:val="0"/>
          <w:sz w:val="20"/>
          <w:u w:val="single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aflat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pe site-ul oficial al Colegiului Național de Informatică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Tudor Vianu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și pe canalul de Youtube al RGDA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Romanian Game Developers Association.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Art 7. Pentru jurizare se utilizeaza baremul de evaluare din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ANEXA 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Art. 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DESCRIEREA PREMIILOR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ȘI DESEMNAREA 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Â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ȘTIGĂTORILOR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cadrul Concursului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" Vianu Game Jam"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se vor desemna prin jurizare intern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și de specialitate, realizata de Comisia științifică a concursului, la finalul concursului, un număr de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proiecte de jocuri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știgatoare.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Echipele castigatoare vor fi desemnate prin jurizare de specialitate, desfasurata în perioada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16-20 mai 2024.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Echipele castigatoare nu pot solicita si Organizatorul nu va acorda niciunuia dintre echipele câ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știgatoare contravaloarea premiului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bani. Organizatorul nu 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și asuma responsabilitatea pentru cazurile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care echipele câ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știgatoare au furnizat date sau informații incorecte ce duc la imposibilitatea acordarii premiilor.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ANUNTAREA ECHIPELOR CASTIGATOARE SI VALIDAREA PREMIILOR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conformitate cu legislatia in vigoare, Organizatorul este obligat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facă publice numele echipelor castigatoare și caștigurile acordate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cadrul acestui Concurs. Numele echipelor câ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știgatoare vor fi afișate pe site-ul oficial al concursului </w:t>
      </w:r>
      <w:hyperlink xmlns:r="http://schemas.openxmlformats.org/officeDocument/2006/relationships" r:id="docRId3">
        <w:r>
          <w:rPr>
            <w:rFonts w:ascii="Helvetica" w:hAnsi="Helvetica" w:cs="Helvetica" w:eastAsia="Helvetica"/>
            <w:color w:val="338FE9"/>
            <w:spacing w:val="0"/>
            <w:position w:val="0"/>
            <w:sz w:val="20"/>
            <w:u w:val="single"/>
            <w:shd w:fill="FFFFFF" w:val="clear"/>
          </w:rPr>
          <w:t xml:space="preserve">http://vianugamejam.lbi.ro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pe data de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21 Mai 2024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Validarea echipelor castigatoare: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 (trei)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premii- pentru proiectele care au fost considerate cele mai bune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și ale caror nume au fost comunicate pe pagina oficiala a concursului.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4">
        <w:r>
          <w:rPr>
            <w:rFonts w:ascii="Helvetica" w:hAnsi="Helvetica" w:cs="Helvetica" w:eastAsia="Helvetica"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http://vianugamejam.lbi.ro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și pe canalul de Youtube al RGDA. 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ăspunderea asupra datelor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înscrise în formularul participan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ților aparține exclusiv acestora. Organizatorul nu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și asumă responsabilitatea eventualei imposibilităti a acordarii premiilor din cauza indicării unor date false.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Art 9. ERORI, COMUNICARI PUBLICITARE NECORESPUNZATOARE, LIMITAREA RASPUNDERII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Organizatorul nu va putea fi facut responsabil de apari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ția nici uneia dintre următoarele situații care poate duce la neacordarea premiilor prezentului Concurs: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pierderea statutului de câ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știgator ca urmare a imposibilității contactării persoanei respective din motive independente de Organizator;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pierderile sau întârzierile înscrierilor pe website, generate de defec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țiuni tehnice independente de voința Organizatorului, respectiv pierderi,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întarzieri sau orice alte probleme cauzate de providerul de Internet / conexiunea Internet a participantului; 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situatiile în care mai multe persoane (participan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ți sau nu la concurs) revendică drepturi de autor aferente materialelor prezentate de către participanți (inclusiv difuzare, redifuzare, reproducere etc.) sau situațiile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care materialele respective încalca orice drepturi / prejudiciaza imaginea vreunei persoane fizice sau juridice; 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imposibilitatea de a accesa formularul de înscriere în concurs din motive independente de Organizator;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imposibilitatea Organizatorului de a contacta câ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știgatorii, din motive independente de acesta;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organizatorul nu va fi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ăspunzator de nerespectarea, de căatre utilizatori, participanți și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știgători ai premiilor, a oricărei condiții sau al oricărui termen cuprins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prezentul Regulament, nici de necomunicarea, de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ătre participanți și respectiv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șstigatori ai premiilor, a tuturor datelor și informațiilor precizate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prezentul Regulament;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organizatorul nu va fi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ăspunzator pentru niciunul dintre prejudiciile ce ar putea fi suferite de către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știgator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legatur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cu premiile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știgate, indiferent de natura acestor prejudicii, cu excepția situațiilor expres prevazute de lege și care ar institui o astfel de răspundere;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organizatorul este îndrept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ățit să ia toate măsurile necesare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caz de fraud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sau de tentativa de frauda a acestui Concurs, a sistemului folosit, precum și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cazul oric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ărui abuz sau oricaror altor fapte sau tentative care ar putea afecta imaginea Organizatorului.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Art. 10. RESPONSABILITATEA OGANIZATORULUI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Organizatorul concursului va acorda premiul persoanei castigatoare în conformitate cu specifica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țiile acestui regulament. Orice hotarare asupra concursului luată de către Comisia de organizare a concursului este finală și nu se supune nici unui recurs.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Art.11  ANGAJAMENTE, CONFIDEN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ȚIALITATEA DATELOR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Prin comunicarea datelor personale în modalit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ățile indicate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mod expres prin acest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Regulament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participantii prezentului concurs 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și exprima acordul expres și neechivoc ca datele lor personale să intre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baza de date a Organizatorului în vederea efectuarii deliberarii, valid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ării, atribuirii premiului.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Prin prezentul Regulament, tuturor participantilor la promotie le sunt garantate drepturile in conformitate cu legea 677/2001 privind protectia persoanelor cu privire la prelucrarea datelor cu caracter personal si libera circulatie a acestor date, lege care ofera persoanelor vizate dreptul la informare, dreptul de acces la date, dreptul de  interventie asupra datelor si dreptul de opozitie.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Scopul prelucrarii este de a valida echipele castigatoare si de a acorda premiile.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Art.12 FORTA MAJOR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Pentru scopul acestui Regulament,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ța Majoră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inseamna orice eveniment extern care nu poate fi controlat, remediat sau previzionat de catre Organizator și a carui aparitie pune pe acesta din urma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imposibilitatea de a-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și indeplini obligațiile asumate prin Regulament in conformitate cu prevederile art.1351 Cod civil.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Atunci când învoc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Forța majoră, Organizatorul, este obligat să comunice participanților la concurs,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termen de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 (cinci)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zile de la aparitia cazului de forta majora, existen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ța acestuia.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Art 12. REGULAMENTUL CONCURSULUI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Regulamentul concursului este disponibil in mod gratuit pe pagina concursului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ăzduită pe site-ul Colegiului Național de Informatică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Tudor Vianu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Prin participarea la acest concurs, participantii sunt de acord sa se conformeze acestui regulament. Organizatorul 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și rezerva dreptul de a modifica și actualiza acest regulament ori de cate ori este necesar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functie de desfasurarea campaniei.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Inspector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școlar pentru activitățile extrașcolare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Nume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Semn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ătură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Director Colegiul Na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țional de Informatică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Tudor Vianu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”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Prof. Claudia Emilia Anghel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Semn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ătură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ANEXA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Baremul de evaluare pentru Concursul Regional Vianu Game Jam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Nivelul de performanta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Insuficient (1-5 puncte)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Satisfacator (6 -10 puncte)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Bine-realizat (11-15 puncte)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Exceptional (16-20 puncte)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Organizarea/ Specificatii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Insuficient (1-5 puncte):</w:t>
      </w:r>
    </w:p>
    <w:p>
      <w:pPr>
        <w:numPr>
          <w:ilvl w:val="0"/>
          <w:numId w:val="3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Interfa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ța: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Elementele de conținut ale jocului nu sunt dezvoltate. Jocul este incomplet sau neterminat. Mesajul transmis nu este clar</w:t>
      </w:r>
    </w:p>
    <w:p>
      <w:pPr>
        <w:numPr>
          <w:ilvl w:val="0"/>
          <w:numId w:val="3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Codul jocului: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Codul jocului nu demonstreaza întelegerea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și folosirea corectă a algoritmilor utilizați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crearea lui.</w:t>
      </w:r>
    </w:p>
    <w:p>
      <w:pPr>
        <w:numPr>
          <w:ilvl w:val="0"/>
          <w:numId w:val="3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Documenta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ția: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Documentatia este neorganizata și incompletă.</w:t>
      </w:r>
    </w:p>
    <w:p>
      <w:pPr>
        <w:numPr>
          <w:ilvl w:val="0"/>
          <w:numId w:val="3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Creativitatea (Demonstratie/Prezentare):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Elementele de joc nu sunt organizate sau nu au leg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ături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între ele. Con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ținutul nu respectă cerința din concurs. Mecanica jocului este confuză.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Satisfacator (6 -10 puncte)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Interfata: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Elementele de con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ținut ale jocului sunt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mare dezvoltate, dar lipsesc anumite elemente. Mesajul dorit nu este receptat în totalitate prin con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ținutul său.</w:t>
      </w:r>
    </w:p>
    <w:p>
      <w:pPr>
        <w:numPr>
          <w:ilvl w:val="0"/>
          <w:numId w:val="3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Codul jocului</w:t>
      </w: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Codul jocului demonstreaz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întelegere de baza a algoritmilor utiliza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ți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crearea lui.</w:t>
      </w:r>
    </w:p>
    <w:p>
      <w:pPr>
        <w:numPr>
          <w:ilvl w:val="0"/>
          <w:numId w:val="3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Documenta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ția: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Documentatia este neorganizata sau incompletă.</w:t>
      </w:r>
    </w:p>
    <w:p>
      <w:pPr>
        <w:numPr>
          <w:ilvl w:val="0"/>
          <w:numId w:val="3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Creativitatea (Demonstratie/Prezentare)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Elementele de joc nu sunt organizate sau nu au leg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ături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între ele. Con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ținutul nu respectă cerința din concurs. Mecanica jocului este confuză.</w:t>
      </w:r>
    </w:p>
    <w:p>
      <w:pPr>
        <w:numPr>
          <w:ilvl w:val="0"/>
          <w:numId w:val="3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Bine-realizat (11-15 puncte)</w:t>
      </w:r>
    </w:p>
    <w:p>
      <w:pPr>
        <w:numPr>
          <w:ilvl w:val="0"/>
          <w:numId w:val="4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Interfa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ța 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Elementele de conținut ale jocului sunt dezvoltate și au legătură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între ele. Mesajul dorit este receptat în totalitate prin con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ținutul său.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Documenta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ția: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Documentatia este bine organizată și completă. Nu prezintă detalii privind realizarea jocului și tehnologia utilizată și care au fost provocările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întâlnite în realizarea acestuia. Sunt prezente câteva probleme ce trebuie corectate în documenta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ție dar proiectul jocului este complet.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Codul jocului</w:t>
      </w: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Codul folosit denot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țelegere buna a algoritmilor utilizați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crearea jocului. Sunt prezente câteva probleme ce trebuie corectate dar jocul realizat este, în mare, complet. 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Creativitatea (Demonstratie/Prezentare)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Elementele de joc sunt bine organizate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și nu sunt greșeli științifice. Conținutul respectă cerința din concurs.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Exceptional (16-20 puncte)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Interfa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ța 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Elementele de conținut ale jocului sunt dezvoltate și au legătură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între ele. Mesajul dorit este receptat în totalitate prin con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ținutul său. Modul de transmitere a mesajului este inedit.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Codul jocului</w:t>
      </w: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Codul jocului este bine scris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și organizat, demonstrand 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țelegere excelentă a algoritmilor utilizați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joc. Secventele de cod importante sunt comentate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și descrise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documenta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ție.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Documenta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ția: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Documentația este bine organizată și completă. Descrie foarte clar modul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care s-a realizat proiectul jocului, tehnologia utilizat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ă, prezintă detalii privind execuția și provocarile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întâlnite. De asemenea scopul realiz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ării jocului este foarte clar prezentat.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Creativitatea (Demonstratie/Prezentare)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Elementele de joc sunt bine organizate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și nu sunt greșeli științifice. Conținutul respectă cerința din concurs. O idee urmează o alta idee,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într-o succesiune logic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ă. Proiectul de joc este clar, bine realizat, oferind atenție si este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îndreptat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ătre nevoile audientei.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Inspector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școlar pentru activitățile extrașcolare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Nume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Semn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ătură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Director Colegiul Na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țional de Informatică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Tudor Vianu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”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Prof. Claudia Emilia Anghel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Semn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ătură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num w:numId="10">
    <w:abstractNumId w:val="84"/>
  </w:num>
  <w:num w:numId="12">
    <w:abstractNumId w:val="78"/>
  </w:num>
  <w:num w:numId="14">
    <w:abstractNumId w:val="72"/>
  </w:num>
  <w:num w:numId="18">
    <w:abstractNumId w:val="66"/>
  </w:num>
  <w:num w:numId="20">
    <w:abstractNumId w:val="60"/>
  </w:num>
  <w:num w:numId="22">
    <w:abstractNumId w:val="54"/>
  </w:num>
  <w:num w:numId="24">
    <w:abstractNumId w:val="48"/>
  </w:num>
  <w:num w:numId="26">
    <w:abstractNumId w:val="42"/>
  </w:num>
  <w:num w:numId="28">
    <w:abstractNumId w:val="36"/>
  </w:num>
  <w:num w:numId="32">
    <w:abstractNumId w:val="30"/>
  </w:num>
  <w:num w:numId="34">
    <w:abstractNumId w:val="24"/>
  </w:num>
  <w:num w:numId="37">
    <w:abstractNumId w:val="18"/>
  </w:num>
  <w:num w:numId="40">
    <w:abstractNumId w:val="12"/>
  </w:num>
  <w:num w:numId="42">
    <w:abstractNumId w:val="6"/>
  </w:num>
  <w:num w:numId="4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thebeautyofcoding.lbi.ro/" Id="docRId1" Type="http://schemas.openxmlformats.org/officeDocument/2006/relationships/hyperlink" /><Relationship TargetMode="External" Target="http://thebeautyofcoding.lbi.ro/" Id="docRId3" Type="http://schemas.openxmlformats.org/officeDocument/2006/relationships/hyperlink" /><Relationship Target="numbering.xml" Id="docRId5" Type="http://schemas.openxmlformats.org/officeDocument/2006/relationships/numbering" /><Relationship TargetMode="External" Target="http://vianugamejam.lbi.ro/" Id="docRId0" Type="http://schemas.openxmlformats.org/officeDocument/2006/relationships/hyperlink" /><Relationship TargetMode="External" Target="http://thebeautyofcoding.lbi.ro/" Id="docRId2" Type="http://schemas.openxmlformats.org/officeDocument/2006/relationships/hyperlink" /><Relationship TargetMode="External" Target="http://vianugamejam.lbi.ro/" Id="docRId4" Type="http://schemas.openxmlformats.org/officeDocument/2006/relationships/hyperlink" /><Relationship Target="styles.xml" Id="docRId6" Type="http://schemas.openxmlformats.org/officeDocument/2006/relationships/styles" /></Relationships>
</file>